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4" w:rsidRPr="00BA32B4" w:rsidRDefault="00BA32B4" w:rsidP="00BA32B4">
      <w:pPr>
        <w:shd w:val="clear" w:color="auto" w:fill="FFFFFF"/>
        <w:spacing w:after="75" w:line="240" w:lineRule="auto"/>
        <w:rPr>
          <w:rFonts w:ascii="PT Astra Serif" w:eastAsia="Times New Roman" w:hAnsi="PT Astra Serif" w:cs="Times New Roman"/>
          <w:caps/>
          <w:color w:val="333333"/>
          <w:sz w:val="28"/>
          <w:szCs w:val="28"/>
          <w:lang w:eastAsia="ru-RU"/>
        </w:rPr>
      </w:pPr>
      <w:r w:rsidRPr="00BA32B4">
        <w:rPr>
          <w:rFonts w:ascii="PT Astra Serif" w:eastAsia="Times New Roman" w:hAnsi="PT Astra Serif" w:cs="Times New Roman"/>
          <w:caps/>
          <w:color w:val="333333"/>
          <w:sz w:val="28"/>
          <w:szCs w:val="28"/>
          <w:lang w:eastAsia="ru-RU"/>
        </w:rPr>
        <w:t>РАССМОТРЕНИЕ ПРОЕКТА БЮДЖЕТА</w:t>
      </w:r>
    </w:p>
    <w:tbl>
      <w:tblPr>
        <w:tblW w:w="5303" w:type="pct"/>
        <w:tblCellSpacing w:w="0" w:type="dxa"/>
        <w:tblInd w:w="-56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4"/>
        <w:gridCol w:w="2098"/>
      </w:tblGrid>
      <w:tr w:rsidR="00BA32B4" w:rsidRPr="00BA32B4" w:rsidTr="00BA32B4">
        <w:trPr>
          <w:tblCellSpacing w:w="0" w:type="dxa"/>
        </w:trPr>
        <w:tc>
          <w:tcPr>
            <w:tcW w:w="3943" w:type="pct"/>
            <w:shd w:val="clear" w:color="auto" w:fill="FFFFFF"/>
            <w:vAlign w:val="center"/>
            <w:hideMark/>
          </w:tcPr>
          <w:p w:rsidR="00BA32B4" w:rsidRPr="00BA32B4" w:rsidRDefault="00BA32B4" w:rsidP="00BA32B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ap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A32B4" w:rsidRPr="00BA32B4" w:rsidRDefault="00BA32B4" w:rsidP="00BA32B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25.11.2020, 13:28</w:t>
            </w:r>
          </w:p>
        </w:tc>
      </w:tr>
      <w:tr w:rsidR="00BA32B4" w:rsidRPr="00BA32B4" w:rsidTr="00BA32B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A32B4" w:rsidRPr="00BA32B4" w:rsidRDefault="00BA32B4" w:rsidP="00BA32B4">
            <w:pPr>
              <w:spacing w:before="100" w:beforeAutospacing="1" w:after="100" w:afterAutospacing="1" w:line="420" w:lineRule="atLeast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23 ноября 2020 года на заседании Совета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депутатов  муниципального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обра</w:t>
            </w:r>
            <w:bookmarkStart w:id="0" w:name="_GoBack"/>
            <w:bookmarkEnd w:id="0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зования  Чуфаровское городское поселение Вешкаймского района Ульяновской области в первом чтении рассмотрен проект бюджета муниципального образования Чуфаровское городское поселение Вешкаймского района Ульяновской области на 2021 год и на плановый период 2022 и 2023 годов. 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  Основные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характеристики,  параметры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 бюджета на 2021 год и на плановый период 2022 и 2023 годов доложила  экономист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Садкова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Валентина Николаевна. Общая сумма доходов бюджета муниципального образования Чуфаровское городское поселение Вешкаймского района Ульяновской области в 2021 году составит 13386,8тыс. руб. в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т.ч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. собственные доходы в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сумме  3980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,6 тыс. руб.; в 2022году –  53556,8 тыс. руб., в 2023 году –  11496,2 тыс. руб. 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Расходная часть бюджета на 2021 год составит 13386,8   тыс. руб., на 2022 и 2023 годы 53556,8    тыс. руб. и 11496,2    тыс. руб. соответственно. Проект бюджета муниципального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образования  Чуфаровское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городское поселение Вешкаймского района Ульяновской области на 2021 год и на плановый период 2022 и 2023 годов планируется бездефицитным.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- Объём межбюджетных трансфертов, получаемых бюджетом МО Чуфаровское городское поселение из других бюджетов составит:</w:t>
            </w:r>
          </w:p>
          <w:p w:rsidR="00BA32B4" w:rsidRPr="00BA32B4" w:rsidRDefault="00BA32B4" w:rsidP="00BA32B4">
            <w:pPr>
              <w:spacing w:before="100" w:beforeAutospacing="1" w:after="100" w:afterAutospacing="1" w:line="420" w:lineRule="atLeast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2021год-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9406,2тыс.руб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Дотации на выравнивание бюджетной обеспеченности 5120,6тыс. руб.;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Субсидии:    4187,0тыс.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на ремонт дорог     1415,0тыс.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ремонт водопроводных сетей    2772,0тыс.руб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Субвенции                                                                                 98,6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32B4" w:rsidRPr="00BA32B4" w:rsidRDefault="00BA32B4" w:rsidP="00BA32B4">
            <w:pPr>
              <w:spacing w:before="100" w:beforeAutospacing="1" w:after="100" w:afterAutospacing="1" w:line="420" w:lineRule="atLeast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 2022год-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50062,8тыс.рублей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    Дотации на выравнивание бюджетной обеспеченности  4596,1тыс. руб.;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Субсидии:    45362,4тыс.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 переселение граждан из аварийного жилищного фонда    42590,4тыс.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lastRenderedPageBreak/>
              <w:t>ремонт водопроводных сетей    2772,0тыс.руб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Субвенции      104, 3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тыс.руб</w:t>
            </w:r>
            <w:proofErr w:type="spellEnd"/>
          </w:p>
          <w:p w:rsidR="00BA32B4" w:rsidRPr="00BA32B4" w:rsidRDefault="00BA32B4" w:rsidP="00BA32B4">
            <w:pPr>
              <w:spacing w:before="100" w:beforeAutospacing="1" w:after="100" w:afterAutospacing="1" w:line="420" w:lineRule="atLeast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2023год- 7897,1тыс.рублей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Дотации на выравнивание бюджетной обеспеченности       4542,8тыс. руб.;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Субсидии:    3250,0тыс.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 переселение граждан из аварийного жилищного фонда    3250,0тыс.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 Субвенции    104, 3 </w:t>
            </w:r>
            <w:proofErr w:type="spell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тыс.руб</w:t>
            </w:r>
            <w:proofErr w:type="spell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- Объём межбюджетных трансфертов передаваемых  из бюджета МО Чуфаровское городское поселение бюджету муниципального   образования "Вешкаймский район" на осуществление части полномочий по решению вопросов местного значения, в соответствии с заключёнными соглашениями на 2021 год; 2022год; 2023год   составляет ежегодно 1940,2 тыс. рублей (9 полномочий)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 В проекте бюджета муниципального образования Чуфаровское городское поселение Вешкаймского района Ульяновской области на 2021 год предусмотрены бюджетные ассигнования по программам в сумме  2045,6 тыс. руб. или 15,3 % от общей суммы расходов, разработаны 9 муниципальных программ.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 xml:space="preserve">       В проекте бюджета 2021 года сохранена его социальная направленность. На финансирование социально-ориентированных отраслей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направлено  1900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,6  тыс. рублей или  14,2 % от общих расходов бюджета:</w:t>
            </w:r>
          </w:p>
          <w:p w:rsidR="00BA32B4" w:rsidRPr="00BA32B4" w:rsidRDefault="00BA32B4" w:rsidP="00BA32B4">
            <w:pPr>
              <w:spacing w:before="100" w:beforeAutospacing="1" w:after="100" w:afterAutospacing="1" w:line="420" w:lineRule="atLeast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- культура                                    -       1878,6 тыс. </w:t>
            </w:r>
            <w:proofErr w:type="gramStart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руб.;</w:t>
            </w:r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BA32B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социальная политика               -     222,0 тыс. руб.;</w:t>
            </w:r>
          </w:p>
        </w:tc>
      </w:tr>
    </w:tbl>
    <w:p w:rsidR="004443ED" w:rsidRPr="00BA32B4" w:rsidRDefault="004443ED">
      <w:pPr>
        <w:rPr>
          <w:rFonts w:ascii="Times New Roman" w:hAnsi="Times New Roman" w:cs="Times New Roman"/>
          <w:b/>
        </w:rPr>
      </w:pPr>
    </w:p>
    <w:sectPr w:rsidR="004443ED" w:rsidRPr="00BA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2"/>
    <w:rsid w:val="004443ED"/>
    <w:rsid w:val="00BA32B4"/>
    <w:rsid w:val="00E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B4573-53C4-4B75-B687-6B131BE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8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2022-05-11T06:30:00Z</dcterms:created>
  <dcterms:modified xsi:type="dcterms:W3CDTF">2022-05-11T06:37:00Z</dcterms:modified>
</cp:coreProperties>
</file>