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434" w:rsidRDefault="003E5434" w:rsidP="003E5434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Ульяновская межрайонная природоохранная прокуратура разъясняет:</w:t>
      </w:r>
    </w:p>
    <w:p w:rsidR="003E5434" w:rsidRDefault="003E5434" w:rsidP="003E5434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  <w:sz w:val="28"/>
          <w:szCs w:val="28"/>
        </w:rPr>
        <w:t>Истекает срок, в течение которого условия охотхозяйственных соглашений, заключенных до 9 декабря 2021 года, должны быть приведены в соответствии с законодательством.</w:t>
      </w:r>
    </w:p>
    <w:p w:rsidR="003E5434" w:rsidRDefault="003E5434" w:rsidP="003E5434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установлены требования к содержанию охотхозяйственного соглашения.</w:t>
      </w:r>
    </w:p>
    <w:p w:rsidR="003E5434" w:rsidRDefault="003E5434" w:rsidP="003E5434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Федеральным законом от 11.06.2021 № 164-ФЗ «О внесении изменений ф Федеральный закон «Об охоте и о сохранении охотничьих ресурсов и о внесении изменений в отдельные законодательные акты Российской Федерации» установлено, что условия охотхозяйственных соглашений, заключенных до дня вступления в силу названного Федерального закона, должны быть приведены в соответствие со ст. 27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 до 1 июля 2023 года.</w:t>
      </w:r>
      <w:bookmarkStart w:id="0" w:name="_GoBack"/>
      <w:bookmarkEnd w:id="0"/>
    </w:p>
    <w:p w:rsidR="00B57242" w:rsidRDefault="00B57242"/>
    <w:sectPr w:rsidR="00B5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7B"/>
    <w:rsid w:val="003E5434"/>
    <w:rsid w:val="007D7D7B"/>
    <w:rsid w:val="00B5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AF1B2-CC0A-42F1-9388-E48DEBBF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2023-05-29T12:14:00Z</dcterms:created>
  <dcterms:modified xsi:type="dcterms:W3CDTF">2023-05-29T12:14:00Z</dcterms:modified>
</cp:coreProperties>
</file>